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Ind w:w="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7560"/>
      </w:tblGrid>
      <w:tr w:rsidR="00931DC4" w:rsidTr="00931DC4">
        <w:tc>
          <w:tcPr>
            <w:tcW w:w="9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DC4" w:rsidRDefault="00931DC4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 klass                      </w:t>
            </w:r>
          </w:p>
          <w:p w:rsidR="00931DC4" w:rsidRDefault="00931DC4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31DC4" w:rsidTr="00931DC4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DC4" w:rsidRDefault="00931DC4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Õppeaine või kursuse nimetus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DC4" w:rsidRPr="00423935" w:rsidRDefault="00931DC4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Inimeseõpetus</w:t>
            </w:r>
          </w:p>
        </w:tc>
      </w:tr>
      <w:tr w:rsidR="00931DC4" w:rsidTr="00931DC4">
        <w:trPr>
          <w:trHeight w:val="925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DC4" w:rsidRDefault="00931DC4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Õppesisu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DC4" w:rsidRPr="00931DC4" w:rsidRDefault="00931DC4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bookmarkStart w:id="0" w:name="_GoBack1"/>
            <w:bookmarkEnd w:id="0"/>
            <w:r w:rsidRPr="00931DC4"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Mina</w:t>
            </w:r>
            <w:r w:rsidR="00983C97"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 ja sõbrad</w:t>
            </w:r>
            <w:r w:rsidRPr="00931DC4"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: </w:t>
            </w:r>
            <w:r w:rsidRPr="00931DC4"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võrdlus,</w:t>
            </w:r>
            <w:r w:rsidRPr="00423935"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983C97"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võrdlemine, pikem, lühem.</w:t>
            </w:r>
          </w:p>
          <w:p w:rsidR="00931DC4" w:rsidRPr="00931DC4" w:rsidRDefault="00931DC4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931DC4"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Minu tegevused: </w:t>
            </w:r>
            <w:r w:rsidRPr="00931DC4"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tegevus, oskus, huvid</w:t>
            </w:r>
            <w:r w:rsidR="00983C97"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, huviringid.</w:t>
            </w:r>
          </w:p>
          <w:p w:rsidR="00931DC4" w:rsidRPr="00931DC4" w:rsidRDefault="00983C97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Liiklus ja mina</w:t>
            </w:r>
            <w:r w:rsidR="00931DC4" w:rsidRPr="00931DC4"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: </w:t>
            </w:r>
            <w:r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liiklusreeglid, </w:t>
            </w:r>
            <w:r w:rsidR="00931DC4" w:rsidRPr="00931DC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liiklusmärgid. </w:t>
            </w:r>
          </w:p>
          <w:p w:rsidR="00931DC4" w:rsidRDefault="00983C97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Head kombed: </w:t>
            </w:r>
            <w:r w:rsidR="00931DC4" w:rsidRPr="00931DC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Viisakas käitumine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, kaaslaste märkamine.</w:t>
            </w:r>
          </w:p>
          <w:p w:rsidR="00983C97" w:rsidRDefault="00983C97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Abivalmidus, kohuse- ja vastutustunne: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vastutus, kaaslaste väärtustamine. Lapse õigused ja kohustused. </w:t>
            </w:r>
          </w:p>
          <w:p w:rsidR="00983C97" w:rsidRPr="00983C97" w:rsidRDefault="00983C97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Kui laps jääb haigeks: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tervise eest hoolitsemine, haiguste eristamine. </w:t>
            </w:r>
          </w:p>
          <w:p w:rsidR="00983C97" w:rsidRDefault="00983C97" w:rsidP="00983C97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983C97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>Arsti juures</w:t>
            </w:r>
            <w:r w:rsidRPr="00983C9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ravimite tarbimine, kooliõe külastus.</w:t>
            </w:r>
          </w:p>
          <w:p w:rsidR="00864221" w:rsidRDefault="00864221" w:rsidP="00983C97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Tervislik eluviis: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toitumine, uni, puhkus, liikumine, sport. </w:t>
            </w:r>
          </w:p>
          <w:p w:rsidR="00864221" w:rsidRPr="00864221" w:rsidRDefault="00864221" w:rsidP="00983C97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Esmaabi: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112</w:t>
            </w:r>
          </w:p>
          <w:p w:rsidR="00931DC4" w:rsidRDefault="00931DC4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931D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M</w:t>
            </w:r>
            <w:r w:rsidR="008642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inu kodu</w:t>
            </w:r>
            <w:r w:rsidRPr="00931D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: </w:t>
            </w:r>
            <w:r w:rsidR="0086422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kodu, turvakodu, kasupere.</w:t>
            </w:r>
          </w:p>
          <w:p w:rsidR="00864221" w:rsidRDefault="00864221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Rahvakalendri tähtpäevad: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tavad ja kombed.</w:t>
            </w:r>
          </w:p>
          <w:p w:rsidR="00864221" w:rsidRDefault="00864221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Jõulud: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kombed ja tavad, sümbolid, </w:t>
            </w:r>
            <w:r w:rsidRPr="00423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Jeesuse Kristuse sünnipäev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864221" w:rsidRDefault="00864221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Perekond: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perekonnaliikmed. </w:t>
            </w:r>
          </w:p>
          <w:p w:rsidR="00864221" w:rsidRDefault="00864221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Pere ja kombed: </w:t>
            </w:r>
            <w:r w:rsidR="00FE47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kombed ja traditsioonid. Muudatused peres – lapse sünd, surm. 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Erinevad pered: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kärgpered, samasoolised vanemad. 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Vanavanemad ja teised sugulased: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sugupuu.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Vanemate ja teiste inimeste töö: </w:t>
            </w:r>
            <w:r w:rsidRPr="00931DC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elukutse</w:t>
            </w:r>
            <w:r w:rsidRPr="00931D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Pr="00931DC4"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amet,</w:t>
            </w:r>
            <w:r w:rsidRPr="00931DC4">
              <w:rPr>
                <w:rFonts w:ascii="Times New Roman" w:eastAsia="DejaVu Sans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931DC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kohustus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Lapsevanema roll: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vanema eeskuju. 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Eesti riigi sümbolid: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sümbolid. Presidendid. 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Eesti minu kodumaa –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naaberriigid, maakonnad. 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Koduümbrus: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elukeskkond. Elu maal ja linnas. 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Naabrid ja naabruskond: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suhted naabritega.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Võõras ümbrus ja võõraga kaasaminek: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ohtlikud olukorrad. </w:t>
            </w:r>
          </w:p>
          <w:p w:rsidR="00FE4706" w:rsidRDefault="00FE4706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Ohud kodus ja koduümbruses: </w:t>
            </w:r>
            <w:r w:rsidRPr="00423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tuleoht,</w:t>
            </w:r>
            <w:r w:rsidRPr="00423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239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tulekahju, elektririistad, suitsuandur</w:t>
            </w:r>
            <w:r w:rsidR="007C71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Ohud koduümbruses. 112.</w:t>
            </w:r>
          </w:p>
          <w:p w:rsidR="007C7192" w:rsidRDefault="007C7192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Aeg ja aja mõõtmine: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aja mõiste, minevik, olevik ja tulevik. </w:t>
            </w:r>
          </w:p>
          <w:p w:rsidR="007C7192" w:rsidRDefault="007C7192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Aja planeerimine: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tegevuste planeerimine. </w:t>
            </w:r>
          </w:p>
          <w:p w:rsidR="007C7192" w:rsidRDefault="007C7192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Täpsus, lubadused, vastutus: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tagasiside andmine, eneseanalüüs.</w:t>
            </w:r>
          </w:p>
          <w:p w:rsidR="007C7192" w:rsidRDefault="007C7192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Minu oma, tema oma, meie oma.</w:t>
            </w:r>
          </w:p>
          <w:p w:rsidR="007C7192" w:rsidRDefault="007C7192" w:rsidP="00931DC4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Asjade väärtus teiste asjade seas: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sallivus, austus, hoolivus, julgus. </w:t>
            </w:r>
          </w:p>
          <w:p w:rsidR="00931DC4" w:rsidRPr="007C7192" w:rsidRDefault="007C7192" w:rsidP="007C7192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Eesti rikkus.</w:t>
            </w:r>
          </w:p>
        </w:tc>
      </w:tr>
      <w:tr w:rsidR="00931DC4" w:rsidTr="00931DC4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DC4" w:rsidRDefault="00931DC4" w:rsidP="00931DC4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Õpitulemused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DC4" w:rsidRPr="00423935" w:rsidRDefault="00931DC4" w:rsidP="00931DC4">
            <w:pPr>
              <w:snapToGri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Õpilane:</w:t>
            </w:r>
          </w:p>
          <w:p w:rsidR="00931DC4" w:rsidRPr="00423935" w:rsidRDefault="00931DC4" w:rsidP="00931DC4">
            <w:pPr>
              <w:snapToGri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 oma välimust, ja tegevusi, mida talle meeldib teha.</w:t>
            </w:r>
          </w:p>
          <w:p w:rsidR="007C7192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võrdleb inimesi, </w:t>
            </w:r>
            <w:r w:rsidR="007C7192"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nimetab, mille poolest ta sarnaneb teistega ja erineb teistest.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tänaval käituda ning ületada sõiduteed ohutult.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 helkuri tähtsust.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tunneb jalgrattaga sõitmise reegleid.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jutustab </w:t>
            </w:r>
            <w:r w:rsid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ja arutleb </w:t>
            </w: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oma sõbrast.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 enda tegevusi koolis ja kodus.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väärtustab iseennast ja teisi.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mõistab viisaka ja sõbraliku käitumise vajalikkust.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õpib märkama kaaslasi.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väärtustab üksteise abistamist ja arvestamist.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mõistab vastuse tähtsust.</w:t>
            </w:r>
          </w:p>
          <w:p w:rsidR="007C7192" w:rsidRPr="005A5ECF" w:rsidRDefault="007C7192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hindab enda tegevust.</w:t>
            </w:r>
            <w:r w:rsid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</w:t>
            </w: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seloomustab toredat kaaslast.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kirjeldab, kuidas oma tervise eest hoolitseda.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eristab nakkuslikke ja mittenakkuslikke haigusi.</w:t>
            </w:r>
          </w:p>
          <w:p w:rsidR="007C7192" w:rsidRPr="007C7192" w:rsidRDefault="007C7192" w:rsidP="007C7192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C719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tutvub suuhügieeniga ja teab, et hammaste eest on vaja hoolitseda.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mõistab, et ravimeid võetakse siis, kui ollakse haige, ning teab, et ravimid võivad olla inimese tervisele ohtlikud.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tutvub kooliõe tööga.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 mitmekesise toitumise viise.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milline toit on ebatervislik.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tutvub toidupüramiidi ja taldrikureegliga.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 erinevaid tervise eest hoolitsemise viise.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et liikumine, puhkus ja piisav uni on tervisliku eluviisi juures tähtsad.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 ja demonstreerib lihtsamaid esmaabivõtteid.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 hädaabinumbrit ja oskab kutsuda abi.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väärtustab oma kodu.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oma kodu kirjeldada.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et osa lapsi ei ela oma bioloogilise pere juures.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 tähtsamaid rahvakalendri tähtpäevi.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 erinevate pühade kombeid.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 jõulupühadega seotud rahvakombeid.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räägib enda pere jõulutraditsioonidest.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et aegade jooksul on perekonnad olnud erinevad.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väärtustab oma peret.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et paljude perede jaoks on olulised ka lemmikloomad.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et igal perel on oma kombed ja traditsioonid.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nimetada oma pere traditsioone.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arutleb, kuidas erinevad sündmused muudavad pere elu.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et pered on erinevad.</w:t>
            </w:r>
          </w:p>
          <w:p w:rsidR="005A5ECF" w:rsidRPr="001C2E34" w:rsidRDefault="005A5ECF" w:rsidP="001C2E34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kirjeldada oma perekonda.</w:t>
            </w:r>
          </w:p>
          <w:p w:rsidR="001C2E34" w:rsidRDefault="005A5ECF" w:rsidP="001C2E34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nimetada erinevaid sugulasi ja pereliikmeid.</w:t>
            </w:r>
          </w:p>
          <w:p w:rsidR="005A5ECF" w:rsidRPr="001C2E34" w:rsidRDefault="005A5ECF" w:rsidP="001C2E34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C2E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nimetada erinevaid ameteid.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 erinevate ametikohtade tööülesandeid.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arutleb oma tuleviku ameti üle.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kirjeldab, mis on lapse õigused ja kohustused.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mõistab vastutust oma tegude eest.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väärtustab toetavaid peresuhteid.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mõistab vanemate rolli tähtsust.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 Eesti riigi sümboleid.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nimetada Eesti presidente.</w:t>
            </w:r>
          </w:p>
          <w:p w:rsidR="00931DC4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 Eesti naaberriike.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võrdleb erinevaid elukohti;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kirjeldada oma koduümbrust ja nimetada, mis talle seal meeldib;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arutleb, kuidas muuta elukeskkonda kenamaks ja mugavamaks.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kes on naabrid;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mõistab naabrite suhete erinevusi erinevates elupaikades;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jutustab enda naabruskonnast;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paneb kirja naabrite hea läbisaamise reeglid.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kirjeldab erinevaid ohtlikke olukordi;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arutleb, kuidas käituda erinevates ohuolukordades.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nimetada kodus ja koduümbruses leiduvaid ohte;</w:t>
            </w:r>
          </w:p>
          <w:p w:rsidR="001C2E34" w:rsidRDefault="005A5ECF" w:rsidP="001C2E34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hindab oma kodu turvalisust;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arutleb aja mõiste üle;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mis on minevik, olevik ja tulevik;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tunneb erinevaid aja mõõtmise vahendeid.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õpib oma tegevusi ja aega planeerima;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jutustab oma nädalavahetuse tegevustest;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osaleb klassiõhtu planeerimises;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annab enda ja teiste tegevusele tagasisidet.</w:t>
            </w:r>
          </w:p>
          <w:p w:rsid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teab, mida tähendavad sõnapaarid minu oma, tema oma ja meie oma.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jutustab oma kogust või kollektsioonist;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oskab nimetada enda jaoks olulisi ja väärtuslikke asju;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mõistab mõistete sallivus, austus, hoolivus, julgus tähendust.</w:t>
            </w:r>
          </w:p>
          <w:p w:rsidR="005A5ECF" w:rsidRPr="005A5ECF" w:rsidRDefault="005A5ECF" w:rsidP="005A5ECF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5E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arutleb mõiste rikkus tähenduse üle;</w:t>
            </w:r>
          </w:p>
          <w:p w:rsidR="005A5ECF" w:rsidRPr="001C2E34" w:rsidRDefault="001C2E34" w:rsidP="001C2E34">
            <w:pPr>
              <w:widowControl w:val="0"/>
              <w:numPr>
                <w:ilvl w:val="0"/>
                <w:numId w:val="1"/>
              </w:num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arutleb, mis on Eesti rikkus.</w:t>
            </w:r>
          </w:p>
        </w:tc>
      </w:tr>
      <w:tr w:rsidR="00931DC4" w:rsidTr="00931DC4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DC4" w:rsidRDefault="00931DC4" w:rsidP="00931DC4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Teadmiste kontrolli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vormid ja hindamine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DC4" w:rsidRPr="00423935" w:rsidRDefault="001C2E34" w:rsidP="00931D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DejaVu San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lastRenderedPageBreak/>
              <w:t xml:space="preserve">Jooksev hindamine tundides, regulaarsed kirjalikud tunnikontrollid, testid, kontrolltööd. Kirjalikud kodused ülesanded. </w:t>
            </w:r>
          </w:p>
        </w:tc>
      </w:tr>
      <w:tr w:rsidR="00931DC4" w:rsidTr="00931DC4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DC4" w:rsidRDefault="00931DC4" w:rsidP="00931DC4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Õppekirjandus,</w:t>
            </w:r>
          </w:p>
          <w:p w:rsidR="00931DC4" w:rsidRDefault="00931DC4" w:rsidP="00931DC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õpivara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DC4" w:rsidRPr="00423935" w:rsidRDefault="001C2E34" w:rsidP="001C2E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E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Evelin Sulaoja, Tiina </w:t>
            </w:r>
            <w:proofErr w:type="spellStart"/>
            <w:r w:rsidRPr="001C2E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Stamm</w:t>
            </w:r>
            <w:proofErr w:type="spellEnd"/>
            <w:r w:rsidRPr="001C2E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Kätlin </w:t>
            </w:r>
            <w:proofErr w:type="spellStart"/>
            <w:r w:rsidRPr="001C2E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Vainola</w:t>
            </w:r>
            <w:proofErr w:type="spellEnd"/>
            <w:r w:rsidRPr="001C2E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Elina </w:t>
            </w:r>
            <w:proofErr w:type="spellStart"/>
            <w:r w:rsidRPr="001C2E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Sildre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C2E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Inimeseõpetuse tööraamat 2. klassile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Maurus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2018</w:t>
            </w:r>
          </w:p>
        </w:tc>
      </w:tr>
    </w:tbl>
    <w:p w:rsidR="00931DC4" w:rsidRDefault="00931DC4" w:rsidP="00931DC4">
      <w:pPr>
        <w:rPr>
          <w:rFonts w:ascii="Calibri" w:hAnsi="Calibri"/>
          <w:lang w:eastAsia="ar-SA"/>
        </w:rPr>
      </w:pPr>
      <w:bookmarkStart w:id="1" w:name="_GoBack"/>
      <w:bookmarkEnd w:id="1"/>
    </w:p>
    <w:p w:rsidR="00931DC4" w:rsidRDefault="00931DC4" w:rsidP="00931DC4"/>
    <w:p w:rsidR="00931DC4" w:rsidRDefault="00931DC4" w:rsidP="00931DC4">
      <w:pPr>
        <w:rPr>
          <w:rFonts w:ascii="Arial" w:hAnsi="Arial" w:cs="Arial"/>
          <w:color w:val="000000"/>
          <w:sz w:val="18"/>
          <w:szCs w:val="18"/>
          <w:shd w:val="clear" w:color="auto" w:fill="FFFFFF"/>
          <w:lang w:eastAsia="et-EE"/>
        </w:rPr>
      </w:pPr>
    </w:p>
    <w:p w:rsidR="00C67FAA" w:rsidRDefault="00C67FAA" w:rsidP="00C67FAA">
      <w:pPr>
        <w:spacing w:before="240" w:after="1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Inimeseõpetus 3. klassile</w:t>
      </w:r>
    </w:p>
    <w:tbl>
      <w:tblPr>
        <w:tblW w:w="9180" w:type="dxa"/>
        <w:tblInd w:w="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7560"/>
      </w:tblGrid>
      <w:tr w:rsidR="00C67FAA" w:rsidTr="00F12423">
        <w:tc>
          <w:tcPr>
            <w:tcW w:w="9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FAA" w:rsidRDefault="00C67FAA" w:rsidP="00F12423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klass                      </w:t>
            </w:r>
          </w:p>
          <w:p w:rsidR="00C67FAA" w:rsidRDefault="00C67FAA" w:rsidP="00F12423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7FAA" w:rsidTr="00F12423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AA" w:rsidRDefault="00C67FAA" w:rsidP="00F12423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Õppeaine või kursuse nimetus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AA" w:rsidRDefault="00C67FAA" w:rsidP="00F12423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Inimeseõpetus</w:t>
            </w:r>
          </w:p>
        </w:tc>
      </w:tr>
      <w:tr w:rsidR="00C67FAA" w:rsidTr="00F12423">
        <w:trPr>
          <w:trHeight w:val="925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AA" w:rsidRDefault="00C67FAA" w:rsidP="00F12423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Õppesisu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E34" w:rsidRDefault="001C2E34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Tervitamine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erinevad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tervitamise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viisid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1C2E34" w:rsidRDefault="001C2E34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Käitumisreeglid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hea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halb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käitumine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1C2E34" w:rsidRDefault="001C2E34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Käitumise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mõju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tagajärjed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meie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käitumise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mõju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1C2E34" w:rsidRDefault="001C2E34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Liiklus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liiklusreeglid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1C2E34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Teave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teabeallikad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EF6F66">
              <w:rPr>
                <w:color w:val="000000"/>
                <w:sz w:val="20"/>
                <w:szCs w:val="20"/>
                <w:lang w:val="en-US"/>
              </w:rPr>
              <w:t>teavete</w:t>
            </w:r>
            <w:proofErr w:type="spellEnd"/>
            <w:r w:rsidR="00EF6F6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F6F66">
              <w:rPr>
                <w:color w:val="000000"/>
                <w:sz w:val="20"/>
                <w:szCs w:val="20"/>
                <w:lang w:val="en-US"/>
              </w:rPr>
              <w:t>edastamine</w:t>
            </w:r>
            <w:proofErr w:type="spellEnd"/>
            <w:r w:rsidR="00EF6F66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="00EF6F66">
              <w:rPr>
                <w:color w:val="000000"/>
                <w:sz w:val="20"/>
                <w:szCs w:val="20"/>
                <w:lang w:val="en-US"/>
              </w:rPr>
              <w:t>kasutamine</w:t>
            </w:r>
            <w:proofErr w:type="spellEnd"/>
            <w:r w:rsidR="00EF6F66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Reklaami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mõju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Turvaline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käitumine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meediakeskkonnas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reklaam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selle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mõju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Erinevate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rahvaste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tavad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kombed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Sallivus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tavad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kombed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Mäng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töö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Õppimine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mäng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õppimine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1C2E34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Kohusetunne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Vastutus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>:</w:t>
            </w:r>
            <w:r w:rsidR="00C67F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elukutsed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Tavad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Kombed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Tähtpäevad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tähtpäevad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uskumused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Ohud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tervisele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toimetulek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ohuolukorra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ohutus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Meeskonnatöö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Tööjaotus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ühised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tegemised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Suhted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Tunded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suhted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tunded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Kiusamine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Üksteise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austamine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Kodumaa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Eesti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sümbolid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rahvussümbolid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Eesti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Euroopa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Eesti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Vabariigi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tähtpäevad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Lapse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õigused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kohustused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lapse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õigused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kohustused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Tervis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tervis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Tervislik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eluviis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tervislik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eluviis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EF6F66" w:rsidRDefault="00EF6F66" w:rsidP="00F12423">
            <w:pPr>
              <w:pStyle w:val="TableContents"/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Ohud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tervisele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Toimetulek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ohuolukorras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>.</w:t>
            </w:r>
          </w:p>
          <w:p w:rsidR="00EF6F66" w:rsidRPr="00EF6F66" w:rsidRDefault="00EF6F66" w:rsidP="00F12423">
            <w:pPr>
              <w:pStyle w:val="TableContents"/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Kodukoht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kodukoht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Raha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ja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vastutus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>.</w:t>
            </w:r>
          </w:p>
          <w:p w:rsidR="00C67FAA" w:rsidRDefault="00C67FAA" w:rsidP="00F12423">
            <w:pPr>
              <w:autoSpaceDE w:val="0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7FAA" w:rsidTr="00F12423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AA" w:rsidRDefault="00C67FAA" w:rsidP="00F12423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Õpitulemused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F66" w:rsidRDefault="00C67FAA" w:rsidP="00EF6F66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Õpilane</w:t>
            </w:r>
            <w:r w:rsidR="00EF6F6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:rsidR="00EF6F66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EF6F66">
              <w:rPr>
                <w:rFonts w:ascii="Times New Roman" w:hAnsi="Times New Roman" w:cs="Times New Roman"/>
              </w:rPr>
              <w:t xml:space="preserve">mõistab viisaka käitumise vajalikkust, oskab tervitada; </w:t>
            </w:r>
          </w:p>
          <w:p w:rsidR="00EF6F66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EF6F66">
              <w:rPr>
                <w:rFonts w:ascii="Times New Roman" w:hAnsi="Times New Roman" w:cs="Times New Roman"/>
              </w:rPr>
              <w:t xml:space="preserve">oskab kaaslast kuulata ja oma kogemustest rääkida. </w:t>
            </w:r>
          </w:p>
          <w:p w:rsidR="00EF6F66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EF6F66">
              <w:rPr>
                <w:rFonts w:ascii="Times New Roman" w:hAnsi="Times New Roman" w:cs="Times New Roman"/>
              </w:rPr>
              <w:t xml:space="preserve">eristab enda head ja halba käitumist; </w:t>
            </w:r>
          </w:p>
          <w:p w:rsidR="000C55FB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EF6F66">
              <w:rPr>
                <w:rFonts w:ascii="Times New Roman" w:hAnsi="Times New Roman" w:cs="Times New Roman"/>
              </w:rPr>
              <w:t xml:space="preserve">nimetab üldtunnustatud käitumisreegleid </w:t>
            </w:r>
            <w:r w:rsidR="000C55FB">
              <w:rPr>
                <w:rFonts w:ascii="Times New Roman" w:hAnsi="Times New Roman" w:cs="Times New Roman"/>
              </w:rPr>
              <w:t>ja põhjendab nende vajalikkust.</w:t>
            </w:r>
          </w:p>
          <w:p w:rsidR="000C55FB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väärtustab ennast ja teisi ning teab, et inimesed, nende arvamused, hinnangud ja väärtused on erinevad; </w:t>
            </w:r>
          </w:p>
          <w:p w:rsidR="000C55FB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väärtustab hoolivust ja sõprust. </w:t>
            </w:r>
          </w:p>
          <w:p w:rsidR="000C55FB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teab </w:t>
            </w:r>
            <w:r w:rsidR="000C55FB">
              <w:rPr>
                <w:rFonts w:ascii="Times New Roman" w:hAnsi="Times New Roman" w:cs="Times New Roman"/>
              </w:rPr>
              <w:t xml:space="preserve">ja kirjeldab </w:t>
            </w:r>
            <w:r w:rsidRPr="000C55FB">
              <w:rPr>
                <w:rFonts w:ascii="Times New Roman" w:hAnsi="Times New Roman" w:cs="Times New Roman"/>
              </w:rPr>
              <w:t xml:space="preserve">liikluseeskirja, mis tagab tema turvalisuse; </w:t>
            </w:r>
          </w:p>
          <w:p w:rsidR="000C55FB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kirjeldab erinevate meeltega tajutavaid teabeallikaid; </w:t>
            </w:r>
          </w:p>
          <w:p w:rsidR="000C55FB" w:rsidRDefault="00EF6F66" w:rsidP="00EF6F66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lastRenderedPageBreak/>
              <w:t xml:space="preserve">teab erinevaid teabe edastamise ja teabe saamise allikaid ning arutleb nende kasulikkuse ning usaldusväärsuse üle; </w:t>
            </w:r>
          </w:p>
          <w:p w:rsidR="000C55FB" w:rsidRDefault="00EF6F66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on teadlik </w:t>
            </w:r>
            <w:proofErr w:type="spellStart"/>
            <w:r w:rsidRPr="000C55FB">
              <w:rPr>
                <w:rFonts w:ascii="Times New Roman" w:hAnsi="Times New Roman" w:cs="Times New Roman"/>
              </w:rPr>
              <w:t>digikeskkonna</w:t>
            </w:r>
            <w:proofErr w:type="spellEnd"/>
            <w:r w:rsidRPr="000C55FB">
              <w:rPr>
                <w:rFonts w:ascii="Times New Roman" w:hAnsi="Times New Roman" w:cs="Times New Roman"/>
              </w:rPr>
              <w:t xml:space="preserve"> ohtudest ja oskab teab</w:t>
            </w:r>
            <w:r w:rsidR="000C55FB">
              <w:rPr>
                <w:rFonts w:ascii="Times New Roman" w:hAnsi="Times New Roman" w:cs="Times New Roman"/>
              </w:rPr>
              <w:t>ekeskkonnas eetiliselt toimida.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kirjeldab rahvakombeid;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kirjeldab Eestis elavate rahvuste tavasid ja kombeid ning austab neid;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jutustab oma pere traditsioonidest;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väärtustab oma kodumaad.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eristab tööd ja mängu;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selgitab enda õppimise eesmärke ja toob näiteid, kuidas aitab õppimine igapäevaelus paremini hakkama saada;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teab tegureid, mis soodustavad või takistavad keskendumist õppimise ajal.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>kirjeldab oma tegevuse planeerimist, vää</w:t>
            </w:r>
            <w:r>
              <w:rPr>
                <w:rFonts w:ascii="Times New Roman" w:hAnsi="Times New Roman" w:cs="Times New Roman"/>
              </w:rPr>
              <w:t>rtustades vastutust.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kirjeldab olukordi ja toob näiteid, kuidas keelduda tegevusest, mis kahjustab tema tervist;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teab hädaabi telefoninumbrit ja oskab kutsuda abi;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>nimetab, kelle poole pö</w:t>
            </w:r>
            <w:r>
              <w:rPr>
                <w:rFonts w:ascii="Times New Roman" w:hAnsi="Times New Roman" w:cs="Times New Roman"/>
              </w:rPr>
              <w:t>örduda erinevate murede korral.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oskab suhelda ja käituda teisi arvestades;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väärtustab ennast ja teisi, üksteise abistamist ning tegevusi, mis on positiivsete tunnete tekkimise allikaks;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väärtustab lubadustest kinnipidamist ja vastutust;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teab, kuidas olla hea kaaslane ning kuidas teha koostööd. </w:t>
            </w:r>
          </w:p>
          <w:p w:rsidR="000C55FB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 xml:space="preserve">kirjeldab oma välimust, huve ja tegevusi, mida talle meeldib teha;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C55FB">
              <w:rPr>
                <w:rFonts w:ascii="Times New Roman" w:hAnsi="Times New Roman" w:cs="Times New Roman"/>
              </w:rPr>
              <w:t>nimetab, mille poolest ta sarnaneb teistega ja</w:t>
            </w:r>
            <w:r w:rsidR="006943DD">
              <w:rPr>
                <w:rFonts w:ascii="Times New Roman" w:hAnsi="Times New Roman" w:cs="Times New Roman"/>
              </w:rPr>
              <w:t xml:space="preserve"> mille poolest erineb teistest;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väärtustab iseennast ja teisi ning inimese õigust olla erinev;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nimetab ja kirjeldab inimeste erinevaid tundeid ning toob näiteid olukordadest, kus need tekivad, ning leiab erinevaid viise nendega toimetulekuks;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lastRenderedPageBreak/>
              <w:t xml:space="preserve">kirjeldab omadusi, mis peavad olema heal sõbral, ning hindab ennast nende omaduste järgi.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teab abi saamise võimalusi kiusamise ja vägivalla korral;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mõistab, et kiusamine on mitteaktsepteeritud käitumine;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demonstreerib õpisituatsioonis, kuidas keelduda ennast või teisi kahjustavast tegevusest, kuidas vabandada ja vabandusele vastata;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kirjeldab oma sõnadega, mida tähendab vastustundlikkus ja südametunnistus.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nimetab ja kirjeldab Eesti rahvuslikke ja riiklikke sümboleid;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leiab Euroopa kaardilt Eesti ja tema naaberriigid;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väärtustab oma kodumaad.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nimetab ja kirjeldab Eesti riiklikke sümboleid, eristades Eesti sümboleid teiste riikide omadest;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oskab nimetada Eesti vabariigi pealinna, sünnipäeva ja presidenti ning naaberriike;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 leiab Euroopa kaardilt Eesti ja tema naaberriigid;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nimetab enda õigusi ja kohustusi;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teab, et õigustega kaasnevad kohustused;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väärtustab üksteise abistamist ja arvestamist peres, toetavaid peresuhteid ja kodu;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kirjeldab, kuidas abistada pereliikmeid kodustes töödes.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eristab vaimset ja füüsilist tervist ning seoseid nende vahel;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kirjeldab seoseid tervise hoidmise viiside vahel: mitmekesine toitumine, uni ja puhkus ning liikumine;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väärtustab oma tegevusi, mis on positiivsete tunnete tekkimise allikaks.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kirjeldab, kuidas oma tervise eest hoolitseda;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kirjeldab seoseid tervise hoidmise viiside vahel: mitmekesine toitumine, uni ja puhkus ning liikumine;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väärtustab tervislikku eluviisi.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kirjeldab olukordi ja toob näiteid, kuidas keelduda või hoiduda tegevusest, mis ohustab tervist;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lastRenderedPageBreak/>
              <w:t xml:space="preserve">teab, et ravimeid võetakse siis, kui ollakse haige, ning et ravimid võivad olla inimese tervisele ohtlikud;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demonstreerib õpisituatsioonis lihtsamaid esmaabivõtteid ja abi saamise võimalusi (nt haav, kukkumine, mesilase nõelamine, ninaverejooks, praht silmas, puugihammustus, põletus ja rästikuhammustus);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teab hädaabi telefoninumbrit ja oskab kutsuda abi.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teab oma kodukoha infot (vald/linn, maakond, sümboolika) ning selle asukohta;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nimetab ja kirjeldab oma kodukoha tuntud isikuid või paiku.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teab, et raha eest saab osta asju ja teenuseid ning seda, et raha teenitakse tööga;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mõistab oma vastutust asjade hoidmise ja laenamise eest; </w:t>
            </w:r>
          </w:p>
          <w:p w:rsidR="006943DD" w:rsidRDefault="000C55FB" w:rsidP="000C55FB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selgitab, milleks kasutatakse raha ning mis on raha teenimine, hoidmine, kulutamine ja laenamine; </w:t>
            </w:r>
          </w:p>
          <w:p w:rsidR="00EF6F66" w:rsidRPr="006943DD" w:rsidRDefault="000C55FB" w:rsidP="006943DD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6943DD">
              <w:rPr>
                <w:rFonts w:ascii="Times New Roman" w:hAnsi="Times New Roman" w:cs="Times New Roman"/>
              </w:rPr>
              <w:t xml:space="preserve">kirjeldab, milliseid vajadusi tuleb arvestada </w:t>
            </w:r>
            <w:r w:rsidR="006943DD">
              <w:rPr>
                <w:rFonts w:ascii="Times New Roman" w:hAnsi="Times New Roman" w:cs="Times New Roman"/>
              </w:rPr>
              <w:t>taskuraha kulutades ja säästes.</w:t>
            </w:r>
          </w:p>
        </w:tc>
      </w:tr>
      <w:tr w:rsidR="00C67FAA" w:rsidTr="00F12423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AA" w:rsidRDefault="00C67FAA" w:rsidP="00F12423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Teadmiste kontrolli vormid ja hindamine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FAA" w:rsidRPr="00811D7D" w:rsidRDefault="005C2307" w:rsidP="00F12423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DejaVu Sans" w:hAnsi="Times New Roman" w:cs="DejaVu Sans"/>
                <w:kern w:val="3"/>
                <w:sz w:val="20"/>
                <w:szCs w:val="24"/>
                <w:lang w:eastAsia="zh-CN" w:bidi="hi-IN"/>
              </w:rPr>
            </w:pPr>
            <w:r w:rsidRPr="005C2307">
              <w:rPr>
                <w:rFonts w:ascii="Times New Roman" w:eastAsia="DejaVu Sans" w:hAnsi="Times New Roman" w:cs="DejaVu Sans"/>
                <w:kern w:val="3"/>
                <w:sz w:val="20"/>
                <w:szCs w:val="24"/>
                <w:lang w:eastAsia="zh-CN" w:bidi="hi-IN"/>
              </w:rPr>
              <w:t>Jooksev hindamine tundides, regulaarsed kirjalikud tunnikontrollid, testid, kontrolltööd. Kirjalikud kodused ülesanded.</w:t>
            </w:r>
          </w:p>
          <w:p w:rsidR="00C67FAA" w:rsidRDefault="00C67FAA" w:rsidP="00F1242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67FAA" w:rsidTr="00F12423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AA" w:rsidRDefault="00C67FAA" w:rsidP="00F12423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Õppekirjandus,</w:t>
            </w:r>
          </w:p>
          <w:p w:rsidR="00C67FAA" w:rsidRDefault="00C67FAA" w:rsidP="00F1242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õpivara</w:t>
            </w:r>
          </w:p>
        </w:tc>
        <w:tc>
          <w:tcPr>
            <w:tcW w:w="7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FAA" w:rsidRPr="005C2307" w:rsidRDefault="005C2307" w:rsidP="00F12423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 xml:space="preserve">Riina </w:t>
            </w:r>
            <w:proofErr w:type="spellStart"/>
            <w:r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>Meidla</w:t>
            </w:r>
            <w:proofErr w:type="spellEnd"/>
            <w:r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 xml:space="preserve">, Ülle </w:t>
            </w:r>
            <w:proofErr w:type="spellStart"/>
            <w:r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>Säälik</w:t>
            </w:r>
            <w:proofErr w:type="spellEnd"/>
            <w:r w:rsidRPr="005C2307"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 xml:space="preserve">. Inimeseõpetuse tööraamat </w:t>
            </w:r>
            <w:r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>3</w:t>
            </w:r>
            <w:r w:rsidRPr="005C2307"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 xml:space="preserve">. klassile. </w:t>
            </w:r>
            <w:proofErr w:type="spellStart"/>
            <w:r w:rsidRPr="005C2307"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>Maurus</w:t>
            </w:r>
            <w:proofErr w:type="spellEnd"/>
            <w:r w:rsidRPr="005C2307"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>, 201</w:t>
            </w:r>
            <w:r>
              <w:rPr>
                <w:rFonts w:ascii="Times New Roman" w:eastAsia="DejaVu Sans" w:hAnsi="Times New Roman" w:cs="DejaVu Sans"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  <w:p w:rsidR="00C67FAA" w:rsidRDefault="00C67FAA" w:rsidP="00F1242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C67FAA" w:rsidRDefault="00C67FAA" w:rsidP="00C67FAA"/>
    <w:p w:rsidR="000D4BD7" w:rsidRDefault="000D4BD7" w:rsidP="00C67FAA"/>
    <w:sectPr w:rsidR="000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93" w:rsidRDefault="00AB5393" w:rsidP="00AB5393">
      <w:r>
        <w:separator/>
      </w:r>
    </w:p>
  </w:endnote>
  <w:endnote w:type="continuationSeparator" w:id="0">
    <w:p w:rsidR="00AB5393" w:rsidRDefault="00AB5393" w:rsidP="00AB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utura">
    <w:altName w:val="Times New Roman"/>
    <w:charset w:val="00"/>
    <w:family w:val="auto"/>
    <w:pitch w:val="default"/>
  </w:font>
  <w:font w:name="DejaVu Sans">
    <w:altName w:val="MS Gothic"/>
    <w:charset w:val="00"/>
    <w:family w:val="auto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93" w:rsidRDefault="00AB5393" w:rsidP="00AB5393">
      <w:r>
        <w:separator/>
      </w:r>
    </w:p>
  </w:footnote>
  <w:footnote w:type="continuationSeparator" w:id="0">
    <w:p w:rsidR="00AB5393" w:rsidRDefault="00AB5393" w:rsidP="00AB5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AAC" w:rsidRPr="00FA1AAC" w:rsidRDefault="00A12CD7">
    <w:pPr>
      <w:pStyle w:val="Pis"/>
      <w:rPr>
        <w:rFonts w:ascii="Times New Roman" w:hAnsi="Times New Roman" w:cs="Times New Roman"/>
        <w:b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>Inimeseõpetus 2. ja 3</w:t>
    </w:r>
    <w:r w:rsidR="00FA1AAC" w:rsidRPr="00FA1AAC">
      <w:rPr>
        <w:rFonts w:ascii="Times New Roman" w:hAnsi="Times New Roman" w:cs="Times New Roman"/>
        <w:b/>
        <w:sz w:val="36"/>
        <w:szCs w:val="36"/>
      </w:rPr>
      <w:t>. klassile</w:t>
    </w:r>
  </w:p>
  <w:p w:rsidR="00FA1AAC" w:rsidRDefault="00FA1AA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060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1910A2"/>
    <w:multiLevelType w:val="multilevel"/>
    <w:tmpl w:val="7060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75039BE"/>
    <w:multiLevelType w:val="multilevel"/>
    <w:tmpl w:val="7060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15F140B"/>
    <w:multiLevelType w:val="multilevel"/>
    <w:tmpl w:val="546E7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C4"/>
    <w:rsid w:val="000C55FB"/>
    <w:rsid w:val="000D4BD7"/>
    <w:rsid w:val="001C2E34"/>
    <w:rsid w:val="00423935"/>
    <w:rsid w:val="004C07B9"/>
    <w:rsid w:val="00585A55"/>
    <w:rsid w:val="005A5ECF"/>
    <w:rsid w:val="005C2307"/>
    <w:rsid w:val="006943DD"/>
    <w:rsid w:val="007C7192"/>
    <w:rsid w:val="00864221"/>
    <w:rsid w:val="00931DC4"/>
    <w:rsid w:val="00983C97"/>
    <w:rsid w:val="00A12CD7"/>
    <w:rsid w:val="00AB5393"/>
    <w:rsid w:val="00C67FAA"/>
    <w:rsid w:val="00EF4D18"/>
    <w:rsid w:val="00EF6F66"/>
    <w:rsid w:val="00FA1AAC"/>
    <w:rsid w:val="00F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4DC4"/>
  <w15:chartTrackingRefBased/>
  <w15:docId w15:val="{4CD7B2ED-2B9E-4F9A-B838-E085F7CE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31DC4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uthorInformation">
    <w:name w:val="Author Information"/>
    <w:basedOn w:val="Normaallaad"/>
    <w:rsid w:val="00931DC4"/>
    <w:rPr>
      <w:rFonts w:ascii="Futura" w:hAnsi="Futura" w:cs="Times New Roman"/>
      <w:color w:val="000000"/>
      <w:sz w:val="20"/>
      <w:szCs w:val="20"/>
      <w:lang w:eastAsia="ar-SA"/>
    </w:rPr>
  </w:style>
  <w:style w:type="character" w:customStyle="1" w:styleId="apple-converted-space">
    <w:name w:val="apple-converted-space"/>
    <w:basedOn w:val="Liguvaikefont"/>
    <w:rsid w:val="00931DC4"/>
  </w:style>
  <w:style w:type="character" w:styleId="Tugev">
    <w:name w:val="Strong"/>
    <w:basedOn w:val="Liguvaikefont"/>
    <w:uiPriority w:val="22"/>
    <w:qFormat/>
    <w:rsid w:val="00931DC4"/>
    <w:rPr>
      <w:b/>
      <w:bCs/>
    </w:rPr>
  </w:style>
  <w:style w:type="character" w:styleId="Hperlink">
    <w:name w:val="Hyperlink"/>
    <w:rsid w:val="00AB5393"/>
    <w:rPr>
      <w:color w:val="000080"/>
      <w:u w:val="single"/>
    </w:rPr>
  </w:style>
  <w:style w:type="paragraph" w:styleId="Pis">
    <w:name w:val="header"/>
    <w:basedOn w:val="Normaallaad"/>
    <w:link w:val="PisMrk"/>
    <w:uiPriority w:val="99"/>
    <w:unhideWhenUsed/>
    <w:rsid w:val="00FA1AA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A1AAC"/>
  </w:style>
  <w:style w:type="paragraph" w:styleId="Jalus">
    <w:name w:val="footer"/>
    <w:basedOn w:val="Normaallaad"/>
    <w:link w:val="JalusMrk"/>
    <w:uiPriority w:val="99"/>
    <w:unhideWhenUsed/>
    <w:rsid w:val="00FA1AAC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A1AAC"/>
  </w:style>
  <w:style w:type="paragraph" w:customStyle="1" w:styleId="Standard">
    <w:name w:val="Standard"/>
    <w:rsid w:val="00C67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67FAA"/>
    <w:pPr>
      <w:suppressLineNumbers/>
    </w:pPr>
  </w:style>
  <w:style w:type="paragraph" w:styleId="Loendilik">
    <w:name w:val="List Paragraph"/>
    <w:basedOn w:val="Normaallaad"/>
    <w:uiPriority w:val="34"/>
    <w:qFormat/>
    <w:rsid w:val="001C2E34"/>
    <w:pPr>
      <w:ind w:left="720"/>
      <w:contextualSpacing/>
    </w:pPr>
  </w:style>
  <w:style w:type="paragraph" w:customStyle="1" w:styleId="Default">
    <w:name w:val="Default"/>
    <w:rsid w:val="00EF6F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1595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Laasner</dc:creator>
  <cp:keywords/>
  <dc:description/>
  <cp:lastModifiedBy>Nelli Restov</cp:lastModifiedBy>
  <cp:revision>6</cp:revision>
  <dcterms:created xsi:type="dcterms:W3CDTF">2017-11-24T13:29:00Z</dcterms:created>
  <dcterms:modified xsi:type="dcterms:W3CDTF">2020-10-23T11:20:00Z</dcterms:modified>
</cp:coreProperties>
</file>